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EF93F9" w14:textId="5FC08903" w:rsidR="00000000" w:rsidRPr="00FE1984" w:rsidRDefault="00000000">
      <w:pPr>
        <w:pStyle w:val="Title"/>
        <w:rPr>
          <w:color w:val="0F4761"/>
        </w:rPr>
      </w:pPr>
      <w:r w:rsidRPr="00FE1984">
        <w:rPr>
          <w:color w:val="0F4761"/>
        </w:rPr>
        <w:t>Pines Eye Text</w:t>
      </w:r>
    </w:p>
    <w:p w14:paraId="3DFDFB3B" w14:textId="77777777" w:rsidR="00A72D9C" w:rsidRDefault="00000000">
      <w:pPr>
        <w:pStyle w:val="NoSpacing"/>
        <w:jc w:val="both"/>
      </w:pPr>
      <w:r w:rsidRPr="0005209C">
        <w:t>Cork-based artist Kevin Mooney makes paintings that speculate</w:t>
      </w:r>
      <w:r>
        <w:t xml:space="preserve"> </w:t>
      </w:r>
      <w:r w:rsidRPr="0005209C">
        <w:t>about connections between the folk cultures of Irish émigrés</w:t>
      </w:r>
      <w:r>
        <w:t xml:space="preserve"> </w:t>
      </w:r>
      <w:r w:rsidRPr="0005209C">
        <w:t>and the cultures of the Caribbean, and their absence</w:t>
      </w:r>
      <w:r>
        <w:t xml:space="preserve"> </w:t>
      </w:r>
      <w:r w:rsidRPr="0005209C">
        <w:t>from</w:t>
      </w:r>
      <w:r>
        <w:t xml:space="preserve"> </w:t>
      </w:r>
      <w:r w:rsidRPr="0005209C">
        <w:t>Ireland’s art historical record.</w:t>
      </w:r>
    </w:p>
    <w:p w14:paraId="219967CA" w14:textId="77777777" w:rsidR="00A72D9C" w:rsidRDefault="00000000">
      <w:pPr>
        <w:pStyle w:val="NoSpacing"/>
        <w:jc w:val="both"/>
      </w:pPr>
      <w:r>
        <w:br/>
      </w:r>
      <w:r w:rsidRPr="0005209C">
        <w:t>On taking control of Jamaica in 1655, England – at that time</w:t>
      </w:r>
      <w:r>
        <w:t xml:space="preserve"> </w:t>
      </w:r>
      <w:r w:rsidRPr="0005209C">
        <w:t>ruling Ireland – displaced large numbers of Irish people to</w:t>
      </w:r>
      <w:r>
        <w:t xml:space="preserve"> </w:t>
      </w:r>
      <w:r w:rsidRPr="0005209C">
        <w:t>Jamaica to raise the colony’s population and increase its labour</w:t>
      </w:r>
      <w:r>
        <w:t xml:space="preserve"> </w:t>
      </w:r>
      <w:r w:rsidRPr="0005209C">
        <w:t>force. Some, considered undesirable, were forcibly displaced,</w:t>
      </w:r>
      <w:r>
        <w:t xml:space="preserve"> </w:t>
      </w:r>
      <w:r w:rsidRPr="0005209C">
        <w:t>some were kidnapped, and many migrated as indentured</w:t>
      </w:r>
      <w:r>
        <w:t xml:space="preserve"> </w:t>
      </w:r>
      <w:r w:rsidRPr="0005209C">
        <w:t>servants to work on the English sugar and tobacco plantations</w:t>
      </w:r>
      <w:r>
        <w:t xml:space="preserve"> </w:t>
      </w:r>
      <w:r w:rsidRPr="0005209C">
        <w:t xml:space="preserve">(signing an agreement to serve a master for </w:t>
      </w:r>
      <w:proofErr w:type="gramStart"/>
      <w:r w:rsidRPr="0005209C">
        <w:t>a number of</w:t>
      </w:r>
      <w:proofErr w:type="gramEnd"/>
      <w:r w:rsidRPr="0005209C">
        <w:t xml:space="preserve"> years,</w:t>
      </w:r>
      <w:r>
        <w:t xml:space="preserve"> </w:t>
      </w:r>
      <w:r w:rsidRPr="0005209C">
        <w:t>in return for passage). Many died on the crossing or later from</w:t>
      </w:r>
      <w:r>
        <w:t xml:space="preserve"> </w:t>
      </w:r>
      <w:r w:rsidRPr="0005209C">
        <w:t>the poor working conditions: they were nicknamed the ‘red legs’</w:t>
      </w:r>
      <w:r>
        <w:t xml:space="preserve"> </w:t>
      </w:r>
      <w:r w:rsidRPr="0005209C">
        <w:t>on account of the effect of the climate on their fair skin, and in</w:t>
      </w:r>
      <w:r>
        <w:t xml:space="preserve"> </w:t>
      </w:r>
      <w:r w:rsidRPr="0005209C">
        <w:t>later years English political leader Oliver Cromwell preferred</w:t>
      </w:r>
      <w:r>
        <w:t xml:space="preserve"> </w:t>
      </w:r>
      <w:r w:rsidRPr="0005209C">
        <w:t>to send children, who he believed would have a better chance</w:t>
      </w:r>
      <w:r>
        <w:t xml:space="preserve"> </w:t>
      </w:r>
      <w:r w:rsidRPr="0005209C">
        <w:t>to adapt. Such was the impact of this process that today 25</w:t>
      </w:r>
      <w:r>
        <w:t xml:space="preserve"> </w:t>
      </w:r>
      <w:r w:rsidRPr="0005209C">
        <w:t>percent of Jamaicans claim Irish ancestry. It is a story that</w:t>
      </w:r>
      <w:r>
        <w:t xml:space="preserve"> </w:t>
      </w:r>
      <w:r w:rsidRPr="0005209C">
        <w:t>extends across other Caribbean islands including Barbados and</w:t>
      </w:r>
      <w:r>
        <w:t xml:space="preserve"> </w:t>
      </w:r>
      <w:r w:rsidRPr="0005209C">
        <w:t>Montserrat, and one that speaks of the</w:t>
      </w:r>
      <w:r w:rsidR="00A72D9C">
        <w:t xml:space="preserve"> </w:t>
      </w:r>
      <w:r w:rsidRPr="0005209C">
        <w:t>coercive uprooting of</w:t>
      </w:r>
      <w:r>
        <w:t xml:space="preserve"> </w:t>
      </w:r>
      <w:r w:rsidRPr="0005209C">
        <w:t>people from their traditions and lands.</w:t>
      </w:r>
      <w:r w:rsidR="00A72D9C">
        <w:t xml:space="preserve"> </w:t>
      </w:r>
    </w:p>
    <w:p w14:paraId="59585B17" w14:textId="77777777" w:rsidR="00A72D9C" w:rsidRDefault="00A72D9C">
      <w:pPr>
        <w:pStyle w:val="NoSpacing"/>
        <w:jc w:val="both"/>
      </w:pPr>
    </w:p>
    <w:p w14:paraId="4A0CA9CC" w14:textId="152F7997" w:rsidR="00000000" w:rsidRPr="0005209C" w:rsidRDefault="00000000">
      <w:pPr>
        <w:pStyle w:val="NoSpacing"/>
        <w:jc w:val="both"/>
      </w:pPr>
      <w:r w:rsidRPr="0005209C">
        <w:t>During this period the Irish population dropped significantly (by</w:t>
      </w:r>
      <w:r>
        <w:t xml:space="preserve"> </w:t>
      </w:r>
      <w:r w:rsidRPr="0005209C">
        <w:t>around one third owing also to famine and conflict) and from an</w:t>
      </w:r>
      <w:r>
        <w:t xml:space="preserve"> </w:t>
      </w:r>
      <w:r w:rsidRPr="0005209C">
        <w:t>Irish perspective this history of emigration is one of great loss,</w:t>
      </w:r>
      <w:r>
        <w:t xml:space="preserve"> </w:t>
      </w:r>
      <w:r w:rsidRPr="0005209C">
        <w:t>as many people went away never to return. For Mooney, as a</w:t>
      </w:r>
      <w:r>
        <w:t xml:space="preserve"> </w:t>
      </w:r>
      <w:r w:rsidRPr="0005209C">
        <w:t>painter trying to connect with the visual history of Ireland, the</w:t>
      </w:r>
      <w:r>
        <w:t xml:space="preserve"> </w:t>
      </w:r>
      <w:r w:rsidRPr="0005209C">
        <w:t>seventeenth century is something of a void within the records.</w:t>
      </w:r>
      <w:r>
        <w:t xml:space="preserve"> </w:t>
      </w:r>
      <w:r w:rsidRPr="0005209C">
        <w:t>For him, English rule led not only to mass migration but also to</w:t>
      </w:r>
      <w:r>
        <w:t xml:space="preserve"> </w:t>
      </w:r>
      <w:r w:rsidRPr="0005209C">
        <w:t>a kind of exodus of cultural memories, identities and traditions.</w:t>
      </w:r>
      <w:r>
        <w:t xml:space="preserve"> </w:t>
      </w:r>
      <w:r w:rsidRPr="0005209C">
        <w:t>He states that, ‘when a visual culture does re-emerge in the</w:t>
      </w:r>
      <w:r>
        <w:t xml:space="preserve"> </w:t>
      </w:r>
      <w:r w:rsidRPr="0005209C">
        <w:t>eighteenth century in Ireland it is only within the context of a</w:t>
      </w:r>
      <w:r>
        <w:t xml:space="preserve"> </w:t>
      </w:r>
      <w:r w:rsidRPr="0005209C">
        <w:t>complicated, contested and compromised history emerging</w:t>
      </w:r>
      <w:r>
        <w:t xml:space="preserve"> </w:t>
      </w:r>
      <w:r w:rsidRPr="0005209C">
        <w:t>under colonial rule. So, engaging with this earlier period of Irish</w:t>
      </w:r>
      <w:r>
        <w:t xml:space="preserve"> </w:t>
      </w:r>
      <w:r w:rsidRPr="0005209C">
        <w:t>history through art involves a leap of the imagination.’</w:t>
      </w:r>
      <w:r w:rsidRPr="0005209C">
        <w:br/>
      </w:r>
      <w:r>
        <w:br/>
      </w:r>
      <w:r w:rsidRPr="0005209C">
        <w:t>Apparition, Orbs, Trickster and Peasant – appearing at intervals</w:t>
      </w:r>
      <w:r>
        <w:t xml:space="preserve"> </w:t>
      </w:r>
      <w:r w:rsidRPr="0005209C">
        <w:t>throughout the exhibition – invite us to take this leap of</w:t>
      </w:r>
      <w:r>
        <w:t xml:space="preserve"> </w:t>
      </w:r>
      <w:r w:rsidRPr="0005209C">
        <w:t>the imagination. Occasionally including motifs that appear</w:t>
      </w:r>
      <w:r>
        <w:t xml:space="preserve"> </w:t>
      </w:r>
      <w:r w:rsidRPr="0005209C">
        <w:t>like straw, they reflect traditions like the ‘Straw Boys’ from</w:t>
      </w:r>
      <w:r>
        <w:t xml:space="preserve"> </w:t>
      </w:r>
      <w:r w:rsidRPr="0005209C">
        <w:t>Ireland and comparable folk traditions and crafts carried</w:t>
      </w:r>
      <w:r>
        <w:t xml:space="preserve"> </w:t>
      </w:r>
      <w:r w:rsidRPr="0005209C">
        <w:t>by West African slaves to the Caribbean; threads tracing</w:t>
      </w:r>
      <w:r>
        <w:t xml:space="preserve"> </w:t>
      </w:r>
      <w:r w:rsidRPr="0005209C">
        <w:t>back to more pagan traditions rooted in nature. But these</w:t>
      </w:r>
      <w:r>
        <w:t xml:space="preserve"> </w:t>
      </w:r>
      <w:r w:rsidRPr="0005209C">
        <w:t>mischievous spectres also appear broken and torn. Mooney,</w:t>
      </w:r>
      <w:r>
        <w:t xml:space="preserve"> </w:t>
      </w:r>
      <w:r w:rsidRPr="0005209C">
        <w:t>in fact, considers them less as portraits – as representations</w:t>
      </w:r>
      <w:r>
        <w:t xml:space="preserve"> </w:t>
      </w:r>
      <w:r w:rsidRPr="0005209C">
        <w:t>of someone’s status and individual personhood – than</w:t>
      </w:r>
      <w:r>
        <w:t xml:space="preserve"> </w:t>
      </w:r>
      <w:r w:rsidRPr="0005209C">
        <w:t>as gruesome trophies. Here he references, ‘early Celtic</w:t>
      </w:r>
      <w:r>
        <w:t xml:space="preserve"> </w:t>
      </w:r>
      <w:r w:rsidRPr="0005209C">
        <w:t>traditions where the head is considered the site of knowledge,</w:t>
      </w:r>
      <w:r>
        <w:t xml:space="preserve"> </w:t>
      </w:r>
      <w:r w:rsidRPr="0005209C">
        <w:t>consciousness and spiritual power, to the point that the</w:t>
      </w:r>
      <w:r>
        <w:t xml:space="preserve"> </w:t>
      </w:r>
      <w:r w:rsidRPr="0005209C">
        <w:t>decapitated head of one’s enemy was considered a prized</w:t>
      </w:r>
      <w:r>
        <w:t xml:space="preserve"> </w:t>
      </w:r>
      <w:r w:rsidRPr="0005209C">
        <w:t>possession. [Where] to possess it meant possessing everything</w:t>
      </w:r>
      <w:r>
        <w:t xml:space="preserve"> </w:t>
      </w:r>
      <w:r w:rsidRPr="0005209C">
        <w:t>they saw or knew as well as their spirit and energy.’ This</w:t>
      </w:r>
      <w:r>
        <w:t xml:space="preserve"> </w:t>
      </w:r>
      <w:r w:rsidRPr="0005209C">
        <w:t>gives them another kind of charge. Out of the obscurity of</w:t>
      </w:r>
      <w:r>
        <w:t xml:space="preserve"> </w:t>
      </w:r>
      <w:r w:rsidRPr="0005209C">
        <w:t>darkness, the eyes appear hypnotic and compelling, seemingly</w:t>
      </w:r>
      <w:r>
        <w:t xml:space="preserve"> </w:t>
      </w:r>
      <w:r w:rsidRPr="0005209C">
        <w:t>beseeching us to find a way to look beyond the surface. As</w:t>
      </w:r>
      <w:r>
        <w:t xml:space="preserve"> </w:t>
      </w:r>
      <w:r w:rsidRPr="0005209C">
        <w:t>Mooney includes loose reference points to images by painters</w:t>
      </w:r>
      <w:r>
        <w:t xml:space="preserve"> </w:t>
      </w:r>
      <w:r w:rsidRPr="0005209C">
        <w:t>like Paul Henry (see Apparition) or photographer John Hinde</w:t>
      </w:r>
      <w:r>
        <w:t xml:space="preserve"> </w:t>
      </w:r>
      <w:r w:rsidRPr="0005209C">
        <w:t>(see Trickster), who in the early twentieth century produced</w:t>
      </w:r>
      <w:r>
        <w:t xml:space="preserve"> </w:t>
      </w:r>
      <w:r w:rsidRPr="0005209C">
        <w:t>romanticised images of Ireland’s soft landscapes, gentle people</w:t>
      </w:r>
      <w:r>
        <w:t xml:space="preserve"> </w:t>
      </w:r>
      <w:r w:rsidRPr="0005209C">
        <w:t>and bucolic country settlements, we might consider this surface</w:t>
      </w:r>
      <w:r>
        <w:t xml:space="preserve"> </w:t>
      </w:r>
      <w:r w:rsidRPr="0005209C">
        <w:t xml:space="preserve">to be what remains when the </w:t>
      </w:r>
      <w:r w:rsidRPr="0005209C">
        <w:lastRenderedPageBreak/>
        <w:t>violence of history is expunged by</w:t>
      </w:r>
      <w:r>
        <w:t xml:space="preserve"> </w:t>
      </w:r>
      <w:r w:rsidRPr="0005209C">
        <w:t>those in control. In this way, Mooney sets up his works to haunt</w:t>
      </w:r>
      <w:r>
        <w:t xml:space="preserve"> </w:t>
      </w:r>
      <w:r w:rsidRPr="0005209C">
        <w:t>us; hybrid, partial, zombie figures that – unhinging the usual</w:t>
      </w:r>
      <w:r>
        <w:t xml:space="preserve"> </w:t>
      </w:r>
      <w:r w:rsidRPr="0005209C">
        <w:t>stability of the portrait – challenge us to see what they have</w:t>
      </w:r>
      <w:r>
        <w:t xml:space="preserve"> </w:t>
      </w:r>
      <w:proofErr w:type="gramStart"/>
      <w:r w:rsidRPr="0005209C">
        <w:t>seen, or</w:t>
      </w:r>
      <w:proofErr w:type="gramEnd"/>
      <w:r w:rsidRPr="0005209C">
        <w:t xml:space="preserve"> at least be prepared to imagine.</w:t>
      </w:r>
    </w:p>
    <w:p w14:paraId="727D09CE" w14:textId="77777777" w:rsidR="00137273" w:rsidRDefault="00137273">
      <w:pPr>
        <w:jc w:val="right"/>
        <w:rPr>
          <w:i/>
          <w:color w:val="595959"/>
          <w:sz w:val="20"/>
          <w:szCs w:val="20"/>
        </w:rPr>
      </w:pPr>
    </w:p>
    <w:p w14:paraId="64D8A8C2" w14:textId="77777777" w:rsidR="00137273" w:rsidRDefault="00137273">
      <w:pPr>
        <w:jc w:val="right"/>
        <w:rPr>
          <w:i/>
          <w:color w:val="595959"/>
          <w:sz w:val="20"/>
          <w:szCs w:val="20"/>
        </w:rPr>
      </w:pPr>
    </w:p>
    <w:p w14:paraId="62DAD7FD" w14:textId="41EE0F95" w:rsidR="00000000" w:rsidRPr="00643EF0" w:rsidRDefault="00000000">
      <w:pPr>
        <w:jc w:val="right"/>
        <w:rPr>
          <w:color w:val="595959"/>
          <w:sz w:val="20"/>
          <w:szCs w:val="20"/>
        </w:rPr>
      </w:pPr>
      <w:r w:rsidRPr="00643EF0">
        <w:rPr>
          <w:i/>
          <w:color w:val="595959"/>
          <w:sz w:val="20"/>
          <w:szCs w:val="20"/>
        </w:rPr>
        <w:t>James Clegg, Curator of Exhibitions, Talbot Rice Gallery 2020</w:t>
      </w:r>
    </w:p>
    <w:p w14:paraId="009CFFCC" w14:textId="36A56E23" w:rsidR="00000000" w:rsidRPr="00805154" w:rsidRDefault="00000000">
      <w:pPr>
        <w:jc w:val="right"/>
        <w:rPr>
          <w:color w:val="0F4761"/>
          <w:sz w:val="18"/>
          <w:szCs w:val="18"/>
        </w:rPr>
      </w:pPr>
      <w:r w:rsidRPr="00805154">
        <w:rPr>
          <w:color w:val="0F4761"/>
          <w:sz w:val="18"/>
          <w:szCs w:val="18"/>
        </w:rPr>
        <w:t>https://www.trg.ed.ac.uk/exhibition/pines-eye</w:t>
      </w:r>
    </w:p>
    <w:p w14:paraId="2B50EF18" w14:textId="77777777" w:rsidR="0005209C" w:rsidRDefault="0005209C" w:rsidP="0005209C">
      <w:pPr>
        <w:jc w:val="both"/>
      </w:pPr>
    </w:p>
    <w:sectPr w:rsidR="000520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209C"/>
    <w:rsid w:val="0005209C"/>
    <w:rsid w:val="00137273"/>
    <w:rsid w:val="00643EF0"/>
    <w:rsid w:val="0073591E"/>
    <w:rsid w:val="00805154"/>
    <w:rsid w:val="00A72D9C"/>
    <w:rsid w:val="00FE19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B1E577"/>
  <w15:chartTrackingRefBased/>
  <w15:docId w15:val="{72B19564-AE23-40D3-8384-0BCA055973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5209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5209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5209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5209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5209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5209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5209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5209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5209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5209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5209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5209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5209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5209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5209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5209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5209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5209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5209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5209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5209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5209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5209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5209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5209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5209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5209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5209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5209C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05209C"/>
    <w:pPr>
      <w:spacing w:after="0" w:line="240" w:lineRule="auto"/>
    </w:pPr>
  </w:style>
  <w:style w:type="character" w:styleId="BookTitle">
    <w:name w:val="Book Title"/>
    <w:basedOn w:val="DefaultParagraphFont"/>
    <w:uiPriority w:val="33"/>
    <w:qFormat/>
    <w:rsid w:val="0005209C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5209C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5209C"/>
    <w:rPr>
      <w:i/>
      <w:iCs/>
    </w:rPr>
  </w:style>
  <w:style w:type="character" w:styleId="Strong">
    <w:name w:val="Strong"/>
    <w:basedOn w:val="DefaultParagraphFont"/>
    <w:uiPriority w:val="22"/>
    <w:qFormat/>
    <w:rsid w:val="0005209C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05209C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05209C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5209C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05209C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586</Words>
  <Characters>3342</Characters>
  <Application>Microsoft Office Word</Application>
  <DocSecurity>0</DocSecurity>
  <Lines>27</Lines>
  <Paragraphs>7</Paragraphs>
  <ScaleCrop>false</ScaleCrop>
  <Company/>
  <LinksUpToDate>false</LinksUpToDate>
  <CharactersWithSpaces>3921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Kevin Mooney</dc:creator>
  <cp:keywords/>
  <dc:description/>
  <cp:lastModifiedBy>Kevin Mooney</cp:lastModifiedBy>
  <cp:revision>1</cp:revision>
  <dcterms:created xsi:type="dcterms:W3CDTF">2026-10-05T10:56:00Z</dcterms:created>
  <dcterms:modified xsi:type="dcterms:W3CDTF">2026-10-05T11:05:00Z</dcterms:modified>
</cp:coreProperties>
</file>